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BA374" w14:textId="77777777" w:rsidR="00454697" w:rsidRPr="00F51FEF" w:rsidRDefault="00454697" w:rsidP="00454697">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F: QUÁ TẢI MÁY BIẾN ÁP</w:t>
      </w:r>
    </w:p>
    <w:p w14:paraId="049A5D1B" w14:textId="77777777" w:rsidR="00454697" w:rsidRPr="00F51FEF" w:rsidRDefault="00454697" w:rsidP="00454697">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p w14:paraId="30F27E9F" w14:textId="77777777" w:rsidR="00454697" w:rsidRPr="00F51FEF" w:rsidRDefault="00454697" w:rsidP="00454697">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Bảng F.1: Giới hạn dòng điện và nhiệt độ tối đa cho phép của MBA kiểu ngâm </w:t>
      </w:r>
      <w:r w:rsidRPr="00F51FEF">
        <w:rPr>
          <w:rFonts w:ascii="Arial" w:eastAsia="Arial" w:hAnsi="Arial" w:cs="Arial"/>
          <w:b/>
          <w:bCs/>
          <w:color w:val="000000"/>
          <w:kern w:val="0"/>
          <w:sz w:val="20"/>
          <w:szCs w:val="20"/>
          <w:lang w:val="vi-VN" w:eastAsia="vi-VN" w:bidi="vi-VN"/>
          <w14:ligatures w14:val="none"/>
        </w:rPr>
        <w:br/>
        <w:t>dầu khoáng trong trường hợp tải vượt quá công suất định mức</w:t>
      </w:r>
    </w:p>
    <w:tbl>
      <w:tblPr>
        <w:tblOverlap w:val="never"/>
        <w:tblW w:w="5000" w:type="pct"/>
        <w:jc w:val="center"/>
        <w:tblCellMar>
          <w:left w:w="10" w:type="dxa"/>
          <w:right w:w="10" w:type="dxa"/>
        </w:tblCellMar>
        <w:tblLook w:val="0000" w:firstRow="0" w:lastRow="0" w:firstColumn="0" w:lastColumn="0" w:noHBand="0" w:noVBand="0"/>
      </w:tblPr>
      <w:tblGrid>
        <w:gridCol w:w="4340"/>
        <w:gridCol w:w="1580"/>
        <w:gridCol w:w="1730"/>
        <w:gridCol w:w="1700"/>
      </w:tblGrid>
      <w:tr w:rsidR="00454697" w:rsidRPr="00F51FEF" w14:paraId="4B21467D"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61F05ADF"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Loại phụ tải</w:t>
            </w:r>
          </w:p>
        </w:tc>
        <w:tc>
          <w:tcPr>
            <w:tcW w:w="845" w:type="pct"/>
            <w:tcBorders>
              <w:top w:val="single" w:sz="4" w:space="0" w:color="auto"/>
              <w:left w:val="single" w:sz="4" w:space="0" w:color="auto"/>
            </w:tcBorders>
            <w:shd w:val="clear" w:color="auto" w:fill="FFFFFF"/>
            <w:vAlign w:val="center"/>
          </w:tcPr>
          <w:p w14:paraId="5CDB174B"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MBA cỡ nhỏ</w:t>
            </w:r>
          </w:p>
          <w:p w14:paraId="5C1982DE"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1</w:t>
            </w:r>
            <w:r w:rsidRPr="00F51FEF">
              <w:rPr>
                <w:rFonts w:ascii="Arial" w:eastAsia="Arial" w:hAnsi="Arial" w:cs="Arial"/>
                <w:color w:val="000000"/>
                <w:kern w:val="0"/>
                <w:sz w:val="20"/>
                <w:szCs w:val="20"/>
                <w:lang w:val="vi-VN" w:eastAsia="vi-VN" w:bidi="vi-VN"/>
                <w14:ligatures w14:val="none"/>
              </w:rPr>
              <w:t>)</w:t>
            </w:r>
          </w:p>
        </w:tc>
        <w:tc>
          <w:tcPr>
            <w:tcW w:w="925" w:type="pct"/>
            <w:tcBorders>
              <w:top w:val="single" w:sz="4" w:space="0" w:color="auto"/>
              <w:left w:val="single" w:sz="4" w:space="0" w:color="auto"/>
            </w:tcBorders>
            <w:shd w:val="clear" w:color="auto" w:fill="FFFFFF"/>
            <w:vAlign w:val="center"/>
          </w:tcPr>
          <w:p w14:paraId="59BE6AB2"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MBA cỡ trung</w:t>
            </w:r>
          </w:p>
          <w:p w14:paraId="791005A7"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1</w:t>
            </w:r>
            <w:r w:rsidRPr="00F51FEF">
              <w:rPr>
                <w:rFonts w:ascii="Arial" w:eastAsia="Arial" w:hAnsi="Arial" w:cs="Arial"/>
                <w:color w:val="000000"/>
                <w:kern w:val="0"/>
                <w:sz w:val="20"/>
                <w:szCs w:val="20"/>
                <w:lang w:val="vi-VN" w:eastAsia="vi-VN" w:bidi="vi-VN"/>
                <w14:ligatures w14:val="none"/>
              </w:rPr>
              <w:t>)</w:t>
            </w:r>
          </w:p>
        </w:tc>
        <w:tc>
          <w:tcPr>
            <w:tcW w:w="909" w:type="pct"/>
            <w:tcBorders>
              <w:top w:val="single" w:sz="4" w:space="0" w:color="auto"/>
              <w:left w:val="single" w:sz="4" w:space="0" w:color="auto"/>
              <w:right w:val="single" w:sz="4" w:space="0" w:color="auto"/>
            </w:tcBorders>
            <w:shd w:val="clear" w:color="auto" w:fill="FFFFFF"/>
            <w:vAlign w:val="center"/>
          </w:tcPr>
          <w:p w14:paraId="76B5D372"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MBA cỡ lớn</w:t>
            </w:r>
          </w:p>
          <w:p w14:paraId="387DBF51"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1</w:t>
            </w:r>
            <w:r w:rsidRPr="00F51FEF">
              <w:rPr>
                <w:rFonts w:ascii="Arial" w:eastAsia="Arial" w:hAnsi="Arial" w:cs="Arial"/>
                <w:color w:val="000000"/>
                <w:kern w:val="0"/>
                <w:sz w:val="20"/>
                <w:szCs w:val="20"/>
                <w:lang w:val="vi-VN" w:eastAsia="vi-VN" w:bidi="vi-VN"/>
                <w14:ligatures w14:val="none"/>
              </w:rPr>
              <w:t>)</w:t>
            </w:r>
          </w:p>
        </w:tc>
      </w:tr>
      <w:tr w:rsidR="00454697" w:rsidRPr="00F51FEF" w14:paraId="6F390BE0" w14:textId="77777777" w:rsidTr="0097329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569A0EDD"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tải trong điều kiện bình thường *</w:t>
            </w:r>
            <w:r w:rsidRPr="00F51FEF">
              <w:rPr>
                <w:rFonts w:ascii="Arial" w:eastAsia="Arial" w:hAnsi="Arial" w:cs="Arial"/>
                <w:color w:val="000000"/>
                <w:kern w:val="0"/>
                <w:sz w:val="20"/>
                <w:szCs w:val="20"/>
                <w:vertAlign w:val="superscript"/>
                <w:lang w:val="vi-VN" w:eastAsia="vi-VN" w:bidi="vi-VN"/>
                <w14:ligatures w14:val="none"/>
              </w:rPr>
              <w:t>2)</w:t>
            </w:r>
          </w:p>
        </w:tc>
      </w:tr>
      <w:tr w:rsidR="00454697" w:rsidRPr="00F51FEF" w14:paraId="67981B53"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7A89772C"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dòng điện định mức</w:t>
            </w:r>
          </w:p>
        </w:tc>
        <w:tc>
          <w:tcPr>
            <w:tcW w:w="845" w:type="pct"/>
            <w:tcBorders>
              <w:top w:val="single" w:sz="4" w:space="0" w:color="auto"/>
              <w:left w:val="single" w:sz="4" w:space="0" w:color="auto"/>
            </w:tcBorders>
            <w:shd w:val="clear" w:color="auto" w:fill="FFFFFF"/>
            <w:vAlign w:val="center"/>
          </w:tcPr>
          <w:p w14:paraId="06ADDB48"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w:t>
            </w:r>
          </w:p>
        </w:tc>
        <w:tc>
          <w:tcPr>
            <w:tcW w:w="925" w:type="pct"/>
            <w:tcBorders>
              <w:top w:val="single" w:sz="4" w:space="0" w:color="auto"/>
              <w:left w:val="single" w:sz="4" w:space="0" w:color="auto"/>
            </w:tcBorders>
            <w:shd w:val="clear" w:color="auto" w:fill="FFFFFF"/>
            <w:vAlign w:val="center"/>
          </w:tcPr>
          <w:p w14:paraId="56C21C37"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w:t>
            </w:r>
          </w:p>
        </w:tc>
        <w:tc>
          <w:tcPr>
            <w:tcW w:w="909" w:type="pct"/>
            <w:tcBorders>
              <w:top w:val="single" w:sz="4" w:space="0" w:color="auto"/>
              <w:left w:val="single" w:sz="4" w:space="0" w:color="auto"/>
              <w:right w:val="single" w:sz="4" w:space="0" w:color="auto"/>
            </w:tcBorders>
            <w:shd w:val="clear" w:color="auto" w:fill="FFFFFF"/>
            <w:vAlign w:val="center"/>
          </w:tcPr>
          <w:p w14:paraId="6FC1599F"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w:t>
            </w:r>
          </w:p>
        </w:tc>
      </w:tr>
      <w:tr w:rsidR="00454697" w:rsidRPr="00F51FEF" w14:paraId="20216BF1"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515D3504"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điểm nóng nhất của cuộn dây và các chi tiết kim loại tiếp xúc với vật liệu cách điện xenlulo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tcBorders>
            <w:shd w:val="clear" w:color="auto" w:fill="FFFFFF"/>
            <w:vAlign w:val="center"/>
          </w:tcPr>
          <w:p w14:paraId="7FC7A993"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925" w:type="pct"/>
            <w:tcBorders>
              <w:top w:val="single" w:sz="4" w:space="0" w:color="auto"/>
              <w:left w:val="single" w:sz="4" w:space="0" w:color="auto"/>
            </w:tcBorders>
            <w:shd w:val="clear" w:color="auto" w:fill="FFFFFF"/>
            <w:vAlign w:val="center"/>
          </w:tcPr>
          <w:p w14:paraId="29C1656A"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909" w:type="pct"/>
            <w:tcBorders>
              <w:top w:val="single" w:sz="4" w:space="0" w:color="auto"/>
              <w:left w:val="single" w:sz="4" w:space="0" w:color="auto"/>
              <w:right w:val="single" w:sz="4" w:space="0" w:color="auto"/>
            </w:tcBorders>
            <w:shd w:val="clear" w:color="auto" w:fill="FFFFFF"/>
            <w:vAlign w:val="center"/>
          </w:tcPr>
          <w:p w14:paraId="7B5C5478"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r>
      <w:tr w:rsidR="00454697" w:rsidRPr="00F51FEF" w14:paraId="7A4A6156"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3D36C934"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điểm nóng nhất của các chi tiết kim loại khác (tiếp xúc với dầu, giấy phíp, sợi thủy tinh)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tcBorders>
            <w:shd w:val="clear" w:color="auto" w:fill="FFFFFF"/>
            <w:vAlign w:val="center"/>
          </w:tcPr>
          <w:p w14:paraId="79D1A2C2"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c>
          <w:tcPr>
            <w:tcW w:w="925" w:type="pct"/>
            <w:tcBorders>
              <w:top w:val="single" w:sz="4" w:space="0" w:color="auto"/>
              <w:left w:val="single" w:sz="4" w:space="0" w:color="auto"/>
            </w:tcBorders>
            <w:shd w:val="clear" w:color="auto" w:fill="FFFFFF"/>
            <w:vAlign w:val="center"/>
          </w:tcPr>
          <w:p w14:paraId="7A5DE8A1"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c>
          <w:tcPr>
            <w:tcW w:w="909" w:type="pct"/>
            <w:tcBorders>
              <w:top w:val="single" w:sz="4" w:space="0" w:color="auto"/>
              <w:left w:val="single" w:sz="4" w:space="0" w:color="auto"/>
              <w:right w:val="single" w:sz="4" w:space="0" w:color="auto"/>
            </w:tcBorders>
            <w:shd w:val="clear" w:color="auto" w:fill="FFFFFF"/>
            <w:vAlign w:val="center"/>
          </w:tcPr>
          <w:p w14:paraId="7FB267F0"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r>
      <w:tr w:rsidR="00454697" w:rsidRPr="00F51FEF" w14:paraId="0CC7FA78"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128529E3"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dầu lớp trên trong bình dầu chính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tcBorders>
            <w:shd w:val="clear" w:color="auto" w:fill="FFFFFF"/>
            <w:vAlign w:val="center"/>
          </w:tcPr>
          <w:p w14:paraId="19A4B6DE"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105</w:t>
            </w:r>
          </w:p>
        </w:tc>
        <w:tc>
          <w:tcPr>
            <w:tcW w:w="925" w:type="pct"/>
            <w:tcBorders>
              <w:top w:val="single" w:sz="4" w:space="0" w:color="auto"/>
              <w:left w:val="single" w:sz="4" w:space="0" w:color="auto"/>
            </w:tcBorders>
            <w:shd w:val="clear" w:color="auto" w:fill="FFFFFF"/>
            <w:vAlign w:val="center"/>
          </w:tcPr>
          <w:p w14:paraId="5F082E79"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105</w:t>
            </w:r>
          </w:p>
        </w:tc>
        <w:tc>
          <w:tcPr>
            <w:tcW w:w="909" w:type="pct"/>
            <w:tcBorders>
              <w:top w:val="single" w:sz="4" w:space="0" w:color="auto"/>
              <w:left w:val="single" w:sz="4" w:space="0" w:color="auto"/>
              <w:right w:val="single" w:sz="4" w:space="0" w:color="auto"/>
            </w:tcBorders>
            <w:shd w:val="clear" w:color="auto" w:fill="FFFFFF"/>
            <w:vAlign w:val="center"/>
          </w:tcPr>
          <w:p w14:paraId="57EBD144"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105</w:t>
            </w:r>
          </w:p>
        </w:tc>
      </w:tr>
      <w:tr w:rsidR="00454697" w:rsidRPr="00F51FEF" w14:paraId="3506A9BF" w14:textId="77777777" w:rsidTr="0097329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6EE07C1F"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tải khẩn cấp kéo dài *</w:t>
            </w:r>
            <w:r w:rsidRPr="00F51FEF">
              <w:rPr>
                <w:rFonts w:ascii="Arial" w:eastAsia="Arial" w:hAnsi="Arial" w:cs="Arial"/>
                <w:color w:val="000000"/>
                <w:kern w:val="0"/>
                <w:sz w:val="20"/>
                <w:szCs w:val="20"/>
                <w:vertAlign w:val="superscript"/>
                <w:lang w:val="vi-VN" w:eastAsia="vi-VN" w:bidi="vi-VN"/>
                <w14:ligatures w14:val="none"/>
              </w:rPr>
              <w:t>3)</w:t>
            </w:r>
          </w:p>
        </w:tc>
      </w:tr>
      <w:tr w:rsidR="00454697" w:rsidRPr="00F51FEF" w14:paraId="139EB8D0"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5BAAE139"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dòng điện định mức</w:t>
            </w:r>
          </w:p>
        </w:tc>
        <w:tc>
          <w:tcPr>
            <w:tcW w:w="845" w:type="pct"/>
            <w:tcBorders>
              <w:top w:val="single" w:sz="4" w:space="0" w:color="auto"/>
              <w:left w:val="single" w:sz="4" w:space="0" w:color="auto"/>
            </w:tcBorders>
            <w:shd w:val="clear" w:color="auto" w:fill="FFFFFF"/>
            <w:vAlign w:val="center"/>
          </w:tcPr>
          <w:p w14:paraId="458F2392"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w:t>
            </w:r>
          </w:p>
        </w:tc>
        <w:tc>
          <w:tcPr>
            <w:tcW w:w="925" w:type="pct"/>
            <w:tcBorders>
              <w:top w:val="single" w:sz="4" w:space="0" w:color="auto"/>
              <w:left w:val="single" w:sz="4" w:space="0" w:color="auto"/>
            </w:tcBorders>
            <w:shd w:val="clear" w:color="auto" w:fill="FFFFFF"/>
            <w:vAlign w:val="center"/>
          </w:tcPr>
          <w:p w14:paraId="1F54660B"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w:t>
            </w:r>
          </w:p>
        </w:tc>
        <w:tc>
          <w:tcPr>
            <w:tcW w:w="909" w:type="pct"/>
            <w:tcBorders>
              <w:top w:val="single" w:sz="4" w:space="0" w:color="auto"/>
              <w:left w:val="single" w:sz="4" w:space="0" w:color="auto"/>
              <w:right w:val="single" w:sz="4" w:space="0" w:color="auto"/>
            </w:tcBorders>
            <w:shd w:val="clear" w:color="auto" w:fill="FFFFFF"/>
            <w:vAlign w:val="center"/>
          </w:tcPr>
          <w:p w14:paraId="03DB6AD9"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w:t>
            </w:r>
          </w:p>
        </w:tc>
      </w:tr>
      <w:tr w:rsidR="00454697" w:rsidRPr="00F51FEF" w14:paraId="20D53A04"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4B24BCF5"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điểm nóng cuộn dây và các chi tiết kim loại tiếp xúc với vật liệu cách điện bằng nhựa xenlulo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tcBorders>
            <w:shd w:val="clear" w:color="auto" w:fill="FFFFFF"/>
            <w:vAlign w:val="center"/>
          </w:tcPr>
          <w:p w14:paraId="5B71E216"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c>
          <w:tcPr>
            <w:tcW w:w="925" w:type="pct"/>
            <w:tcBorders>
              <w:top w:val="single" w:sz="4" w:space="0" w:color="auto"/>
              <w:left w:val="single" w:sz="4" w:space="0" w:color="auto"/>
            </w:tcBorders>
            <w:shd w:val="clear" w:color="auto" w:fill="FFFFFF"/>
            <w:vAlign w:val="center"/>
          </w:tcPr>
          <w:p w14:paraId="3AFB5317"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c>
          <w:tcPr>
            <w:tcW w:w="909" w:type="pct"/>
            <w:tcBorders>
              <w:top w:val="single" w:sz="4" w:space="0" w:color="auto"/>
              <w:left w:val="single" w:sz="4" w:space="0" w:color="auto"/>
              <w:right w:val="single" w:sz="4" w:space="0" w:color="auto"/>
            </w:tcBorders>
            <w:shd w:val="clear" w:color="auto" w:fill="FFFFFF"/>
            <w:vAlign w:val="center"/>
          </w:tcPr>
          <w:p w14:paraId="56AF5ED0"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r>
      <w:tr w:rsidR="00454697" w:rsidRPr="00F51FEF" w14:paraId="1B7BBE1E"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2F1F66DF"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điểm nóng các phần kim loại khác (tiếp xúc với dầu, giấy phíp, sợi thủy tinh)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tcBorders>
            <w:shd w:val="clear" w:color="auto" w:fill="FFFFFF"/>
            <w:vAlign w:val="center"/>
          </w:tcPr>
          <w:p w14:paraId="62BA546C"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925" w:type="pct"/>
            <w:tcBorders>
              <w:top w:val="single" w:sz="4" w:space="0" w:color="auto"/>
              <w:left w:val="single" w:sz="4" w:space="0" w:color="auto"/>
            </w:tcBorders>
            <w:shd w:val="clear" w:color="auto" w:fill="FFFFFF"/>
            <w:vAlign w:val="center"/>
          </w:tcPr>
          <w:p w14:paraId="2145A427"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909" w:type="pct"/>
            <w:tcBorders>
              <w:top w:val="single" w:sz="4" w:space="0" w:color="auto"/>
              <w:left w:val="single" w:sz="4" w:space="0" w:color="auto"/>
              <w:right w:val="single" w:sz="4" w:space="0" w:color="auto"/>
            </w:tcBorders>
            <w:shd w:val="clear" w:color="auto" w:fill="FFFFFF"/>
            <w:vAlign w:val="center"/>
          </w:tcPr>
          <w:p w14:paraId="07B73BBF"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r>
      <w:tr w:rsidR="00454697" w:rsidRPr="00F51FEF" w14:paraId="5CD0132B"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7539536C"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dầu lớp trên trong bình dầu chính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tcBorders>
            <w:shd w:val="clear" w:color="auto" w:fill="FFFFFF"/>
            <w:vAlign w:val="center"/>
          </w:tcPr>
          <w:p w14:paraId="33423DDC"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w:t>
            </w:r>
          </w:p>
        </w:tc>
        <w:tc>
          <w:tcPr>
            <w:tcW w:w="925" w:type="pct"/>
            <w:tcBorders>
              <w:top w:val="single" w:sz="4" w:space="0" w:color="auto"/>
              <w:left w:val="single" w:sz="4" w:space="0" w:color="auto"/>
            </w:tcBorders>
            <w:shd w:val="clear" w:color="auto" w:fill="FFFFFF"/>
            <w:vAlign w:val="center"/>
          </w:tcPr>
          <w:p w14:paraId="0F4C02DB"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w:t>
            </w:r>
          </w:p>
        </w:tc>
        <w:tc>
          <w:tcPr>
            <w:tcW w:w="909" w:type="pct"/>
            <w:tcBorders>
              <w:top w:val="single" w:sz="4" w:space="0" w:color="auto"/>
              <w:left w:val="single" w:sz="4" w:space="0" w:color="auto"/>
              <w:right w:val="single" w:sz="4" w:space="0" w:color="auto"/>
            </w:tcBorders>
            <w:shd w:val="clear" w:color="auto" w:fill="FFFFFF"/>
            <w:vAlign w:val="center"/>
          </w:tcPr>
          <w:p w14:paraId="72164E8B"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w:t>
            </w:r>
          </w:p>
        </w:tc>
      </w:tr>
      <w:tr w:rsidR="00454697" w:rsidRPr="00F51FEF" w14:paraId="7CFE389E" w14:textId="77777777" w:rsidTr="0097329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357C4F62"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tải khẩn cấp ngắn hạn *</w:t>
            </w:r>
            <w:r w:rsidRPr="00F51FEF">
              <w:rPr>
                <w:rFonts w:ascii="Arial" w:eastAsia="Arial" w:hAnsi="Arial" w:cs="Arial"/>
                <w:color w:val="000000"/>
                <w:kern w:val="0"/>
                <w:sz w:val="20"/>
                <w:szCs w:val="20"/>
                <w:vertAlign w:val="superscript"/>
                <w:lang w:val="vi-VN" w:eastAsia="vi-VN" w:bidi="vi-VN"/>
                <w14:ligatures w14:val="none"/>
              </w:rPr>
              <w:t>4)</w:t>
            </w:r>
          </w:p>
        </w:tc>
      </w:tr>
      <w:tr w:rsidR="00454697" w:rsidRPr="00F51FEF" w14:paraId="25D7ED0F"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3FCEF352"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Hệ số dòng điện định mức</w:t>
            </w:r>
          </w:p>
        </w:tc>
        <w:tc>
          <w:tcPr>
            <w:tcW w:w="845" w:type="pct"/>
            <w:tcBorders>
              <w:top w:val="single" w:sz="4" w:space="0" w:color="auto"/>
              <w:left w:val="single" w:sz="4" w:space="0" w:color="auto"/>
            </w:tcBorders>
            <w:shd w:val="clear" w:color="auto" w:fill="FFFFFF"/>
            <w:vAlign w:val="center"/>
          </w:tcPr>
          <w:p w14:paraId="01595640"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w:t>
            </w:r>
          </w:p>
        </w:tc>
        <w:tc>
          <w:tcPr>
            <w:tcW w:w="925" w:type="pct"/>
            <w:tcBorders>
              <w:top w:val="single" w:sz="4" w:space="0" w:color="auto"/>
              <w:left w:val="single" w:sz="4" w:space="0" w:color="auto"/>
            </w:tcBorders>
            <w:shd w:val="clear" w:color="auto" w:fill="FFFFFF"/>
            <w:vAlign w:val="center"/>
          </w:tcPr>
          <w:p w14:paraId="5B4E9756"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w:t>
            </w:r>
          </w:p>
        </w:tc>
        <w:tc>
          <w:tcPr>
            <w:tcW w:w="909" w:type="pct"/>
            <w:tcBorders>
              <w:top w:val="single" w:sz="4" w:space="0" w:color="auto"/>
              <w:left w:val="single" w:sz="4" w:space="0" w:color="auto"/>
              <w:right w:val="single" w:sz="4" w:space="0" w:color="auto"/>
            </w:tcBorders>
            <w:shd w:val="clear" w:color="auto" w:fill="FFFFFF"/>
            <w:vAlign w:val="center"/>
          </w:tcPr>
          <w:p w14:paraId="7110A006"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w:t>
            </w:r>
          </w:p>
        </w:tc>
      </w:tr>
      <w:tr w:rsidR="00454697" w:rsidRPr="00F51FEF" w14:paraId="334256B9"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67AE1B0F"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điểm nóng cuộn dây và các chi tiết kim loại tiếp xúc với vật liệu cách điện bằng nhựa xenlulo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tcBorders>
            <w:shd w:val="clear" w:color="auto" w:fill="FFFFFF"/>
            <w:vAlign w:val="center"/>
          </w:tcPr>
          <w:p w14:paraId="1D50FAA6"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w:t>
            </w:r>
          </w:p>
        </w:tc>
        <w:tc>
          <w:tcPr>
            <w:tcW w:w="925" w:type="pct"/>
            <w:tcBorders>
              <w:top w:val="single" w:sz="4" w:space="0" w:color="auto"/>
              <w:left w:val="single" w:sz="4" w:space="0" w:color="auto"/>
            </w:tcBorders>
            <w:shd w:val="clear" w:color="auto" w:fill="FFFFFF"/>
            <w:vAlign w:val="center"/>
          </w:tcPr>
          <w:p w14:paraId="46AC70DF"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909" w:type="pct"/>
            <w:tcBorders>
              <w:top w:val="single" w:sz="4" w:space="0" w:color="auto"/>
              <w:left w:val="single" w:sz="4" w:space="0" w:color="auto"/>
              <w:right w:val="single" w:sz="4" w:space="0" w:color="auto"/>
            </w:tcBorders>
            <w:shd w:val="clear" w:color="auto" w:fill="FFFFFF"/>
            <w:vAlign w:val="center"/>
          </w:tcPr>
          <w:p w14:paraId="6072E830"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r>
      <w:tr w:rsidR="00454697" w:rsidRPr="00F51FEF" w14:paraId="2A8D376F" w14:textId="77777777" w:rsidTr="0097329D">
        <w:trPr>
          <w:trHeight w:val="20"/>
          <w:jc w:val="center"/>
        </w:trPr>
        <w:tc>
          <w:tcPr>
            <w:tcW w:w="2321" w:type="pct"/>
            <w:tcBorders>
              <w:top w:val="single" w:sz="4" w:space="0" w:color="auto"/>
              <w:left w:val="single" w:sz="4" w:space="0" w:color="auto"/>
            </w:tcBorders>
            <w:shd w:val="clear" w:color="auto" w:fill="FFFFFF"/>
            <w:vAlign w:val="center"/>
          </w:tcPr>
          <w:p w14:paraId="1305D685"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điểm nóng các phần kim loại khác (tiếp xúc với dầu, giấy phíp, sợi thủy tinh)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tcBorders>
            <w:shd w:val="clear" w:color="auto" w:fill="FFFFFF"/>
            <w:vAlign w:val="center"/>
          </w:tcPr>
          <w:p w14:paraId="62036197"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w:t>
            </w:r>
          </w:p>
        </w:tc>
        <w:tc>
          <w:tcPr>
            <w:tcW w:w="925" w:type="pct"/>
            <w:tcBorders>
              <w:top w:val="single" w:sz="4" w:space="0" w:color="auto"/>
              <w:left w:val="single" w:sz="4" w:space="0" w:color="auto"/>
            </w:tcBorders>
            <w:shd w:val="clear" w:color="auto" w:fill="FFFFFF"/>
            <w:vAlign w:val="center"/>
          </w:tcPr>
          <w:p w14:paraId="36C3BD51"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180</w:t>
            </w:r>
          </w:p>
        </w:tc>
        <w:tc>
          <w:tcPr>
            <w:tcW w:w="909" w:type="pct"/>
            <w:tcBorders>
              <w:top w:val="single" w:sz="4" w:space="0" w:color="auto"/>
              <w:left w:val="single" w:sz="4" w:space="0" w:color="auto"/>
              <w:right w:val="single" w:sz="4" w:space="0" w:color="auto"/>
            </w:tcBorders>
            <w:shd w:val="clear" w:color="auto" w:fill="FFFFFF"/>
            <w:vAlign w:val="center"/>
          </w:tcPr>
          <w:p w14:paraId="0E428FA4"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180</w:t>
            </w:r>
          </w:p>
        </w:tc>
      </w:tr>
      <w:tr w:rsidR="00454697" w:rsidRPr="00F51FEF" w14:paraId="1645D63E" w14:textId="77777777" w:rsidTr="0097329D">
        <w:trPr>
          <w:trHeight w:val="20"/>
          <w:jc w:val="center"/>
        </w:trPr>
        <w:tc>
          <w:tcPr>
            <w:tcW w:w="2321" w:type="pct"/>
            <w:tcBorders>
              <w:top w:val="single" w:sz="4" w:space="0" w:color="auto"/>
              <w:left w:val="single" w:sz="4" w:space="0" w:color="auto"/>
              <w:bottom w:val="single" w:sz="4" w:space="0" w:color="auto"/>
            </w:tcBorders>
            <w:shd w:val="clear" w:color="auto" w:fill="FFFFFF"/>
            <w:vAlign w:val="center"/>
          </w:tcPr>
          <w:p w14:paraId="0694614A" w14:textId="77777777" w:rsidR="00454697" w:rsidRPr="00F51FEF" w:rsidRDefault="00454697" w:rsidP="0097329D">
            <w:pPr>
              <w:adjustRightInd w:val="0"/>
              <w:snapToGrid w:val="0"/>
              <w:spacing w:after="0" w:line="240" w:lineRule="auto"/>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Nhiệt độ dầu lớp trên trong bình dầu chính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tc>
        <w:tc>
          <w:tcPr>
            <w:tcW w:w="845" w:type="pct"/>
            <w:tcBorders>
              <w:top w:val="single" w:sz="4" w:space="0" w:color="auto"/>
              <w:left w:val="single" w:sz="4" w:space="0" w:color="auto"/>
              <w:bottom w:val="single" w:sz="4" w:space="0" w:color="auto"/>
            </w:tcBorders>
            <w:shd w:val="clear" w:color="auto" w:fill="FFFFFF"/>
            <w:vAlign w:val="center"/>
          </w:tcPr>
          <w:p w14:paraId="0564FDB2"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w:t>
            </w:r>
          </w:p>
        </w:tc>
        <w:tc>
          <w:tcPr>
            <w:tcW w:w="925" w:type="pct"/>
            <w:tcBorders>
              <w:top w:val="single" w:sz="4" w:space="0" w:color="auto"/>
              <w:left w:val="single" w:sz="4" w:space="0" w:color="auto"/>
              <w:bottom w:val="single" w:sz="4" w:space="0" w:color="auto"/>
            </w:tcBorders>
            <w:shd w:val="clear" w:color="auto" w:fill="FFFFFF"/>
            <w:vAlign w:val="center"/>
          </w:tcPr>
          <w:p w14:paraId="0E6556C8"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w:t>
            </w:r>
          </w:p>
        </w:tc>
        <w:tc>
          <w:tcPr>
            <w:tcW w:w="909" w:type="pct"/>
            <w:tcBorders>
              <w:top w:val="single" w:sz="4" w:space="0" w:color="auto"/>
              <w:left w:val="single" w:sz="4" w:space="0" w:color="auto"/>
              <w:bottom w:val="single" w:sz="4" w:space="0" w:color="auto"/>
              <w:right w:val="single" w:sz="4" w:space="0" w:color="auto"/>
            </w:tcBorders>
            <w:shd w:val="clear" w:color="auto" w:fill="FFFFFF"/>
            <w:vAlign w:val="center"/>
          </w:tcPr>
          <w:p w14:paraId="60BEE436" w14:textId="77777777" w:rsidR="00454697" w:rsidRPr="00F51FEF" w:rsidRDefault="00454697"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w:t>
            </w:r>
          </w:p>
        </w:tc>
      </w:tr>
    </w:tbl>
    <w:p w14:paraId="1038CE36" w14:textId="77777777" w:rsidR="00454697" w:rsidRPr="00F51FEF" w:rsidRDefault="00454697" w:rsidP="00454697">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p>
    <w:p w14:paraId="6E4B9E3E"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Dòng tải, nhiệt độ điểm nóng của dây quấn, nhiệt độ dầu lớp trên trong bình dầu chính và nhiệt độ của các chi tiết kim loại khác (ngoài dây quấn và đầu nối) không được vượt quá các giá trị quy định tại </w:t>
      </w:r>
      <w:r w:rsidRPr="00F51FEF">
        <w:rPr>
          <w:rFonts w:ascii="Arial" w:eastAsia="Arial" w:hAnsi="Arial" w:cs="Arial"/>
          <w:b/>
          <w:bCs/>
          <w:color w:val="000000"/>
          <w:kern w:val="0"/>
          <w:sz w:val="20"/>
          <w:szCs w:val="20"/>
          <w:lang w:val="vi-VN" w:eastAsia="vi-VN" w:bidi="vi-VN"/>
          <w14:ligatures w14:val="none"/>
        </w:rPr>
        <w:t>bảng F.1</w:t>
      </w:r>
      <w:r w:rsidRPr="00F51FEF">
        <w:rPr>
          <w:rFonts w:ascii="Arial" w:eastAsia="Arial" w:hAnsi="Arial" w:cs="Arial"/>
          <w:color w:val="000000"/>
          <w:kern w:val="0"/>
          <w:sz w:val="20"/>
          <w:szCs w:val="20"/>
          <w:lang w:val="vi-VN" w:eastAsia="vi-VN" w:bidi="vi-VN"/>
          <w14:ligatures w14:val="none"/>
        </w:rPr>
        <w:t>.</w:t>
      </w:r>
    </w:p>
    <w:p w14:paraId="6602AC4E"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Trường hợp nhiệt độ điểm nóng của dây quấn vượt quá 140 °C, có thể phát sinh bong bóng khí trong dầu, gây giảm độ bền điện môi và đe dọa an toàn vận hành của MBA. Các giới hạn về dòng điện và nhiệt độ không bắt buộc phải áp dụng đồng thời:</w:t>
      </w:r>
    </w:p>
    <w:p w14:paraId="0F9908E0" w14:textId="77777777" w:rsidR="00454697" w:rsidRPr="00F51FEF" w:rsidRDefault="00454697" w:rsidP="00454697">
      <w:pPr>
        <w:widowControl w:val="0"/>
        <w:tabs>
          <w:tab w:val="left" w:pos="882"/>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Trong một số trường hợp, dòng điện vận hành cần được giới hạn thấp hơn giá trị nêu trong bảng để bảo đảm nhiệt độ không vượt giới hạn cho phép.</w:t>
      </w:r>
    </w:p>
    <w:p w14:paraId="7CF6395C" w14:textId="77777777" w:rsidR="00454697" w:rsidRPr="00F51FEF" w:rsidRDefault="00454697" w:rsidP="00454697">
      <w:pPr>
        <w:widowControl w:val="0"/>
        <w:tabs>
          <w:tab w:val="left" w:pos="26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Ngược lại, nhiệt độ vận hành có thể được giới hạn thấp hơn giá trị quy định nhằm đáp ứng yêu cầu giới hạn về dòng điện.</w:t>
      </w:r>
    </w:p>
    <w:p w14:paraId="0D038346"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Ghi chú:</w:t>
      </w:r>
    </w:p>
    <w:p w14:paraId="5ACFC9DA"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 Phân loại MBA theo đặc điểm:</w:t>
      </w:r>
    </w:p>
    <w:p w14:paraId="707F9D97"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MBA cỡ nhỏ: là MBA không có bộ tản nhiệt, bộ làm mát hoặc ống dẫn gắn kèm, bao gồm cả loại có vỏ máy dập sóng, không phân biệt dung lượng định mức.</w:t>
      </w:r>
    </w:p>
    <w:p w14:paraId="6ACD8B2F"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MBA cỡ trung: là MBA có công suất định mức lớn nhất đến 100 MVA đối với máy 3 pha hoặc đến 33,3 MVA đối với máy 1 pha.</w:t>
      </w:r>
    </w:p>
    <w:p w14:paraId="6A61887A"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MBA cỡ lớn: là MBA có công suất định mức lớn nhất trên 100 MVA đối với máy 3 pha hoặc trên 33,3 MVA trở lên đối với máy 1 pha.</w:t>
      </w:r>
    </w:p>
    <w:p w14:paraId="3ABD9AA5"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lastRenderedPageBreak/>
        <w:t>*2): Phụ tải trong điều kiện bình thường: là chế độ vận hành trong đó MBA có thể chịu tải lớn hơn định mức hoặc hoạt động ở nhiệt độ môi trường cao hơn trong một phần của chu kỳ tải, nhưng được coi là tương đương với chế độ vận hành định mức ở nhiệt độ môi trường bình thường xét theo tốc độ lão hóa nhiệt tương đối.</w:t>
      </w:r>
    </w:p>
    <w:p w14:paraId="16E27C1E"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Việc này được bảo đảm nhờ các giai đoạn trong chu kỳ có tải hoặc nhiệt độ môi trường thấp hơn, giúp bù lại ảnh hưởng của giai đoạn quá tải tạm thời.</w:t>
      </w:r>
    </w:p>
    <w:p w14:paraId="09C04C04"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Nguyên tắc này có thể được áp dụng cho kế hoạch vận hành dài hạn, trong đó các chu kỳ có tốc độ lão hóa nhiệt cao được bù bằng các chu kỳ có tốc độ lão hóa nhiệt thấp để duy trì tuổi thọ cách điện tổng thể của máy biến áp.</w:t>
      </w:r>
    </w:p>
    <w:p w14:paraId="3130E303"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 Phụ tải khẩn cấp kéo dài: là chế độ vận hành trong đó MBA phải chịu tải vượt quá định mức trong thời gian kéo dài do sự cố hoặc ngừng vận hành của một số phần tử trong hệ thống điện, và các phần tử này không thể được khôi phục trước khi MBA đạt đến trạng thái ổn định nhiệt mới ở nhiệt độ cao hơn bình thường.</w:t>
      </w:r>
    </w:p>
    <w:p w14:paraId="3B81AE5A"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 Phụ tải khẩn cấp ngắn hạn: là chế độ vận hành trong đó MBA chịu tải rất lớn trong thời gian ngắn (dưới 30 phút), phát sinh do một hoặc nhiều sự cố bất thường gây ra sự mất cân bằng nghiêm trọng trong chế độ tải của hệ thống điện.</w:t>
      </w:r>
    </w:p>
    <w:p w14:paraId="790A7860" w14:textId="77777777" w:rsidR="00454697" w:rsidRPr="00F51FEF" w:rsidRDefault="00454697" w:rsidP="00454697">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 Đối với MBA cỡ nhỏ không quy định giới hạn cho nhiệt độ dầu lớp trên và nhiệt độ điểm nóng trong chế độ tải khẩn cấp ngắn hạn vì thông thường không thể kiểm soát chính xác thời gian kéo dài của chế độ phụ tải này đối với MBA cỡ nhỏ.</w:t>
      </w:r>
    </w:p>
    <w:p w14:paraId="639FFCDA" w14:textId="77777777" w:rsidR="00454697" w:rsidRDefault="00454697"/>
    <w:sectPr w:rsidR="004546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697"/>
    <w:rsid w:val="00452703"/>
    <w:rsid w:val="00454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33048"/>
  <w15:chartTrackingRefBased/>
  <w15:docId w15:val="{A0CAE46B-A9C2-4C74-9899-062F4C774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697"/>
    <w:rPr>
      <w:rFonts w:eastAsiaTheme="minorEastAsia"/>
    </w:rPr>
  </w:style>
  <w:style w:type="paragraph" w:styleId="Heading1">
    <w:name w:val="heading 1"/>
    <w:basedOn w:val="Normal"/>
    <w:next w:val="Normal"/>
    <w:link w:val="Heading1Char"/>
    <w:uiPriority w:val="9"/>
    <w:qFormat/>
    <w:rsid w:val="004546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46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46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46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546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546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46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46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46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6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46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46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46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546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546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46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46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4697"/>
    <w:rPr>
      <w:rFonts w:eastAsiaTheme="majorEastAsia" w:cstheme="majorBidi"/>
      <w:color w:val="272727" w:themeColor="text1" w:themeTint="D8"/>
    </w:rPr>
  </w:style>
  <w:style w:type="paragraph" w:styleId="Title">
    <w:name w:val="Title"/>
    <w:basedOn w:val="Normal"/>
    <w:next w:val="Normal"/>
    <w:link w:val="TitleChar"/>
    <w:uiPriority w:val="10"/>
    <w:qFormat/>
    <w:rsid w:val="00454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46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46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4697"/>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454697"/>
    <w:rPr>
      <w:i/>
      <w:iCs/>
      <w:color w:val="404040" w:themeColor="text1" w:themeTint="BF"/>
    </w:rPr>
  </w:style>
  <w:style w:type="paragraph" w:styleId="ListParagraph">
    <w:name w:val="List Paragraph"/>
    <w:basedOn w:val="Normal"/>
    <w:uiPriority w:val="34"/>
    <w:qFormat/>
    <w:rsid w:val="00454697"/>
    <w:pPr>
      <w:ind w:left="720"/>
      <w:contextualSpacing/>
    </w:pPr>
    <w:rPr>
      <w:rFonts w:eastAsiaTheme="minorHAnsi"/>
    </w:rPr>
  </w:style>
  <w:style w:type="character" w:styleId="IntenseEmphasis">
    <w:name w:val="Intense Emphasis"/>
    <w:basedOn w:val="DefaultParagraphFont"/>
    <w:uiPriority w:val="21"/>
    <w:qFormat/>
    <w:rsid w:val="00454697"/>
    <w:rPr>
      <w:i/>
      <w:iCs/>
      <w:color w:val="2F5496" w:themeColor="accent1" w:themeShade="BF"/>
    </w:rPr>
  </w:style>
  <w:style w:type="paragraph" w:styleId="IntenseQuote">
    <w:name w:val="Intense Quote"/>
    <w:basedOn w:val="Normal"/>
    <w:next w:val="Normal"/>
    <w:link w:val="IntenseQuoteChar"/>
    <w:uiPriority w:val="30"/>
    <w:qFormat/>
    <w:rsid w:val="00454697"/>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454697"/>
    <w:rPr>
      <w:i/>
      <w:iCs/>
      <w:color w:val="2F5496" w:themeColor="accent1" w:themeShade="BF"/>
    </w:rPr>
  </w:style>
  <w:style w:type="character" w:styleId="IntenseReference">
    <w:name w:val="Intense Reference"/>
    <w:basedOn w:val="DefaultParagraphFont"/>
    <w:uiPriority w:val="32"/>
    <w:qFormat/>
    <w:rsid w:val="0045469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3367</Characters>
  <Application>Microsoft Office Word</Application>
  <DocSecurity>0</DocSecurity>
  <Lines>28</Lines>
  <Paragraphs>7</Paragraphs>
  <ScaleCrop>false</ScaleCrop>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2025-12-10T06:05:00Z</dcterms:created>
  <dcterms:modified xsi:type="dcterms:W3CDTF">2025-12-10T06:05:00Z</dcterms:modified>
</cp:coreProperties>
</file>